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100"/>
          <w:szCs w:val="100"/>
          <w:u w:val="single"/>
        </w:rPr>
      </w:pPr>
      <w:r w:rsidDel="00000000" w:rsidR="00000000" w:rsidRPr="00000000">
        <w:rPr>
          <w:sz w:val="100"/>
          <w:szCs w:val="100"/>
          <w:u w:val="single"/>
          <w:rtl w:val="0"/>
        </w:rPr>
        <w:t xml:space="preserve">Memorandum 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To: Dr. Glaze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From: John Ayars - Tipton Middle School Assistant Principal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Subject: TMS Student Handbook Changes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Please see the attached page for changes to the TMS Student Handbook.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Attachments: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 xml:space="preserve">TMS Student Handbook Changes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TMS Student Handbook Changes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Updates to “Section IV: Facilities”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Added clarifying language that Book bags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and other bags for carrying large school supplies</w:t>
      </w:r>
      <w:r w:rsidDel="00000000" w:rsidR="00000000" w:rsidRPr="00000000">
        <w:rPr>
          <w:sz w:val="24"/>
          <w:szCs w:val="24"/>
          <w:rtl w:val="0"/>
        </w:rPr>
        <w:t xml:space="preserve"> will not be used during the school day.</w:t>
      </w:r>
    </w:p>
    <w:p w:rsidR="00000000" w:rsidDel="00000000" w:rsidP="00000000" w:rsidRDefault="00000000" w:rsidRPr="00000000" w14:paraId="0000002C">
      <w:pPr>
        <w:pageBreakBefore w:val="0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Updates to “Section V: Academics”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Updated the corporation diagnostic test from NWEA to iReady to reflect curricular programming changes.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Updated information regarding the TMS Guidance department to reflect staffing changes since last year.</w:t>
      </w:r>
    </w:p>
    <w:p w:rsidR="00000000" w:rsidDel="00000000" w:rsidP="00000000" w:rsidRDefault="00000000" w:rsidRPr="00000000" w14:paraId="0000003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Updates to “Section VI: Student Activities”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Updated language regarding athletic eligibility to reflect that White Cards are no longer given out as part of the athletic eligibility process</w:t>
      </w:r>
    </w:p>
    <w:p w:rsidR="00000000" w:rsidDel="00000000" w:rsidP="00000000" w:rsidRDefault="00000000" w:rsidRPr="00000000" w14:paraId="0000003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Updates to “Section IX: Discipline Policy”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Under “Discipline Policy,” outlined an example of “Progressive Discipline,” updating language that did not have any specific information.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Added the title “STUDENT SEARCHES” above a paragraph on student searches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