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B68C7" w:rsidRPr="00D908A5" w:rsidRDefault="002B68C7" w:rsidP="002B68C7">
      <w:pPr>
        <w:spacing w:after="100" w:line="276" w:lineRule="auto"/>
        <w:rPr>
          <w:rFonts w:ascii="Georgia" w:eastAsia="Calibri" w:hAnsi="Georgia" w:cs="Tahoma"/>
          <w:b/>
          <w:szCs w:val="22"/>
        </w:rPr>
      </w:pPr>
      <w:r w:rsidRPr="00D908A5">
        <w:rPr>
          <w:rFonts w:ascii="Georgia" w:eastAsia="Calibri" w:hAnsi="Georgia" w:cs="Tahoma"/>
          <w:b/>
          <w:szCs w:val="22"/>
        </w:rPr>
        <w:t>TO:</w:t>
      </w:r>
      <w:r w:rsidRPr="00D908A5">
        <w:rPr>
          <w:rFonts w:ascii="Georgia" w:eastAsia="Calibri" w:hAnsi="Georgia" w:cs="Tahoma"/>
          <w:b/>
          <w:szCs w:val="22"/>
        </w:rPr>
        <w:tab/>
      </w:r>
      <w:r w:rsidRPr="00D908A5">
        <w:rPr>
          <w:rFonts w:ascii="Georgia" w:eastAsia="Calibri" w:hAnsi="Georgia" w:cs="Tahoma"/>
          <w:b/>
          <w:szCs w:val="22"/>
        </w:rPr>
        <w:tab/>
      </w:r>
      <w:r w:rsidRPr="00D908A5">
        <w:rPr>
          <w:rFonts w:ascii="Georgia" w:eastAsia="Calibri" w:hAnsi="Georgia" w:cs="Tahoma"/>
          <w:b/>
          <w:szCs w:val="22"/>
        </w:rPr>
        <w:t>Tipton Community School Corporation</w:t>
      </w:r>
      <w:r w:rsidRPr="00D908A5">
        <w:rPr>
          <w:rFonts w:ascii="Georgia" w:eastAsia="Calibri" w:hAnsi="Georgia" w:cs="Tahoma"/>
          <w:b/>
          <w:szCs w:val="22"/>
        </w:rPr>
        <w:t xml:space="preserve"> </w:t>
      </w:r>
    </w:p>
    <w:p w:rsidR="002B68C7" w:rsidRPr="00D908A5" w:rsidRDefault="002B68C7" w:rsidP="002B68C7">
      <w:pPr>
        <w:spacing w:after="100" w:line="276" w:lineRule="auto"/>
        <w:rPr>
          <w:rFonts w:ascii="Georgia" w:eastAsia="Calibri" w:hAnsi="Georgia" w:cs="Tahoma"/>
          <w:b/>
          <w:szCs w:val="22"/>
        </w:rPr>
      </w:pPr>
      <w:r w:rsidRPr="00D908A5">
        <w:rPr>
          <w:rFonts w:ascii="Georgia" w:eastAsia="Calibri" w:hAnsi="Georgia" w:cs="Tahoma"/>
          <w:b/>
          <w:szCs w:val="22"/>
        </w:rPr>
        <w:t>FROM:</w:t>
      </w:r>
      <w:r w:rsidRPr="00D908A5">
        <w:rPr>
          <w:rFonts w:ascii="Georgia" w:eastAsia="Calibri" w:hAnsi="Georgia" w:cs="Tahoma"/>
          <w:b/>
          <w:szCs w:val="22"/>
        </w:rPr>
        <w:tab/>
        <w:t xml:space="preserve">Church </w:t>
      </w:r>
      <w:proofErr w:type="spellStart"/>
      <w:r w:rsidRPr="00D908A5">
        <w:rPr>
          <w:rFonts w:ascii="Georgia" w:eastAsia="Calibri" w:hAnsi="Georgia" w:cs="Tahoma"/>
          <w:b/>
          <w:szCs w:val="22"/>
        </w:rPr>
        <w:t>Church</w:t>
      </w:r>
      <w:proofErr w:type="spellEnd"/>
      <w:r w:rsidRPr="00D908A5">
        <w:rPr>
          <w:rFonts w:ascii="Georgia" w:eastAsia="Calibri" w:hAnsi="Georgia" w:cs="Tahoma"/>
          <w:b/>
          <w:szCs w:val="22"/>
        </w:rPr>
        <w:t xml:space="preserve"> Hittle + Antrim </w:t>
      </w:r>
    </w:p>
    <w:p w:rsidR="002B68C7" w:rsidRPr="00D908A5" w:rsidRDefault="002B68C7" w:rsidP="002B68C7">
      <w:pPr>
        <w:spacing w:after="100" w:line="276" w:lineRule="auto"/>
        <w:rPr>
          <w:rFonts w:ascii="Georgia" w:eastAsia="Calibri" w:hAnsi="Georgia" w:cs="Tahoma"/>
          <w:b/>
          <w:szCs w:val="22"/>
        </w:rPr>
      </w:pPr>
      <w:r w:rsidRPr="00D908A5">
        <w:rPr>
          <w:rFonts w:ascii="Georgia" w:eastAsia="Calibri" w:hAnsi="Georgia" w:cs="Tahoma"/>
          <w:b/>
          <w:szCs w:val="22"/>
        </w:rPr>
        <w:t>DATE:</w:t>
      </w:r>
      <w:r w:rsidRPr="00D908A5">
        <w:rPr>
          <w:rFonts w:ascii="Georgia" w:eastAsia="Calibri" w:hAnsi="Georgia" w:cs="Tahoma"/>
          <w:b/>
          <w:szCs w:val="22"/>
        </w:rPr>
        <w:tab/>
      </w:r>
      <w:r w:rsidRPr="00D908A5">
        <w:rPr>
          <w:rFonts w:ascii="Georgia" w:eastAsia="Calibri" w:hAnsi="Georgia" w:cs="Tahoma"/>
          <w:b/>
          <w:szCs w:val="22"/>
        </w:rPr>
        <w:t>January 11, 2021</w:t>
      </w:r>
    </w:p>
    <w:p w:rsidR="002B68C7" w:rsidRPr="00D908A5" w:rsidRDefault="002B68C7" w:rsidP="002B68C7">
      <w:pPr>
        <w:pBdr>
          <w:bottom w:val="double" w:sz="6" w:space="1" w:color="auto"/>
        </w:pBdr>
        <w:spacing w:after="200" w:line="276" w:lineRule="auto"/>
        <w:rPr>
          <w:rFonts w:ascii="Georgia" w:eastAsia="Calibri" w:hAnsi="Georgia" w:cs="Tahoma"/>
          <w:b/>
          <w:szCs w:val="22"/>
        </w:rPr>
      </w:pPr>
      <w:r w:rsidRPr="00D908A5">
        <w:rPr>
          <w:rFonts w:ascii="Georgia" w:eastAsia="Calibri" w:hAnsi="Georgia" w:cs="Tahoma"/>
          <w:b/>
          <w:szCs w:val="22"/>
        </w:rPr>
        <w:t>RE:</w:t>
      </w:r>
      <w:r w:rsidRPr="00D908A5">
        <w:rPr>
          <w:rFonts w:ascii="Georgia" w:eastAsia="Calibri" w:hAnsi="Georgia" w:cs="Tahoma"/>
          <w:b/>
          <w:szCs w:val="22"/>
        </w:rPr>
        <w:tab/>
      </w:r>
      <w:r w:rsidRPr="00D908A5">
        <w:rPr>
          <w:rFonts w:ascii="Georgia" w:eastAsia="Calibri" w:hAnsi="Georgia" w:cs="Tahoma"/>
          <w:b/>
          <w:szCs w:val="22"/>
        </w:rPr>
        <w:tab/>
        <w:t xml:space="preserve">Nonrenewal of Administrative Contracts </w:t>
      </w:r>
    </w:p>
    <w:p w:rsidR="002B68C7" w:rsidRPr="00D908A5" w:rsidRDefault="002B68C7" w:rsidP="002B68C7">
      <w:pPr>
        <w:rPr>
          <w:rFonts w:ascii="Georgia" w:hAnsi="Georgia" w:cs="Arial"/>
          <w:szCs w:val="22"/>
        </w:rPr>
      </w:pPr>
      <w:r w:rsidRPr="00D908A5">
        <w:rPr>
          <w:rFonts w:ascii="Georgia" w:hAnsi="Georgia" w:cs="Arial"/>
          <w:szCs w:val="22"/>
        </w:rPr>
        <w:t xml:space="preserve">For most administrative contracts set to expire at the end of this school term you must give notice by </w:t>
      </w:r>
      <w:r w:rsidRPr="00D908A5">
        <w:rPr>
          <w:rFonts w:ascii="Georgia" w:hAnsi="Georgia" w:cs="Arial"/>
          <w:b/>
          <w:szCs w:val="22"/>
        </w:rPr>
        <w:t>March 1st</w:t>
      </w:r>
      <w:r w:rsidRPr="00D908A5">
        <w:rPr>
          <w:rFonts w:ascii="Georgia" w:hAnsi="Georgia" w:cs="Arial"/>
          <w:szCs w:val="22"/>
        </w:rPr>
        <w:t xml:space="preserve"> if you are going to refuse to renew the contract. Be aware, there are earlier deadlines for directors of specia</w:t>
      </w:r>
      <w:r w:rsidR="00D908A5" w:rsidRPr="00D908A5">
        <w:rPr>
          <w:rFonts w:ascii="Georgia" w:hAnsi="Georgia" w:cs="Arial"/>
          <w:szCs w:val="22"/>
        </w:rPr>
        <w:t xml:space="preserve">l education or superintendents’ </w:t>
      </w:r>
      <w:r w:rsidRPr="00D908A5">
        <w:rPr>
          <w:rFonts w:ascii="Georgia" w:hAnsi="Georgia" w:cs="Arial"/>
          <w:szCs w:val="22"/>
        </w:rPr>
        <w:t>contracts.</w:t>
      </w:r>
      <w:r w:rsidRPr="00D908A5">
        <w:rPr>
          <w:rStyle w:val="FootnoteReference"/>
          <w:rFonts w:ascii="Georgia" w:hAnsi="Georgia" w:cs="Arial"/>
          <w:szCs w:val="22"/>
        </w:rPr>
        <w:footnoteReference w:id="1"/>
      </w:r>
      <w:r w:rsidRPr="00D908A5">
        <w:rPr>
          <w:rFonts w:ascii="Georgia" w:hAnsi="Georgia" w:cs="Arial"/>
          <w:szCs w:val="22"/>
        </w:rPr>
        <w:t xml:space="preserve"> Failure to give timely notice likely means that the contract is extended for one more school year. </w:t>
      </w:r>
    </w:p>
    <w:p w:rsidR="002B68C7" w:rsidRPr="00D908A5" w:rsidRDefault="002B68C7" w:rsidP="002B68C7">
      <w:pPr>
        <w:rPr>
          <w:rFonts w:ascii="Georgia" w:hAnsi="Georgia" w:cs="Arial"/>
          <w:szCs w:val="22"/>
        </w:rPr>
      </w:pPr>
    </w:p>
    <w:p w:rsidR="002B68C7" w:rsidRPr="00D908A5" w:rsidRDefault="002B68C7" w:rsidP="002B68C7">
      <w:pPr>
        <w:rPr>
          <w:rFonts w:ascii="Georgia" w:hAnsi="Georgia" w:cs="Arial"/>
          <w:szCs w:val="22"/>
        </w:rPr>
      </w:pPr>
      <w:r w:rsidRPr="00D908A5">
        <w:rPr>
          <w:rFonts w:ascii="Georgia" w:hAnsi="Georgia" w:cs="Arial"/>
          <w:szCs w:val="22"/>
        </w:rPr>
        <w:t xml:space="preserve">The board must first provide the administrators with preliminary notice of nonrenewal at least thirty (30) days before the </w:t>
      </w:r>
      <w:r w:rsidRPr="00D908A5">
        <w:rPr>
          <w:rFonts w:ascii="Georgia" w:hAnsi="Georgia" w:cs="Arial"/>
          <w:b/>
          <w:szCs w:val="22"/>
        </w:rPr>
        <w:t>March 1</w:t>
      </w:r>
      <w:r w:rsidRPr="00D908A5">
        <w:rPr>
          <w:rFonts w:ascii="Georgia" w:hAnsi="Georgia" w:cs="Arial"/>
          <w:b/>
          <w:szCs w:val="22"/>
          <w:vertAlign w:val="superscript"/>
        </w:rPr>
        <w:t>st</w:t>
      </w:r>
      <w:r w:rsidRPr="00D908A5">
        <w:rPr>
          <w:rFonts w:ascii="Georgia" w:hAnsi="Georgia" w:cs="Arial"/>
          <w:szCs w:val="22"/>
        </w:rPr>
        <w:t xml:space="preserve"> notice. The board must deliver this preliminary notice no later than </w:t>
      </w:r>
      <w:r w:rsidRPr="00D908A5">
        <w:rPr>
          <w:rFonts w:ascii="Georgia" w:hAnsi="Georgia" w:cs="Arial"/>
          <w:b/>
          <w:szCs w:val="22"/>
        </w:rPr>
        <w:t>January 30</w:t>
      </w:r>
      <w:r w:rsidRPr="00D908A5">
        <w:rPr>
          <w:rFonts w:ascii="Georgia" w:hAnsi="Georgia" w:cs="Arial"/>
          <w:b/>
          <w:szCs w:val="22"/>
          <w:vertAlign w:val="superscript"/>
        </w:rPr>
        <w:t>th</w:t>
      </w:r>
      <w:r w:rsidRPr="00D908A5">
        <w:rPr>
          <w:rFonts w:ascii="Georgia" w:hAnsi="Georgia" w:cs="Arial"/>
          <w:szCs w:val="22"/>
        </w:rPr>
        <w:t xml:space="preserve">, however, it would be advisable to give the preliminary notice in early January in case the administrator takes advantage of the conference opportunities provided under statute. </w:t>
      </w:r>
      <w:r w:rsidRPr="00D908A5">
        <w:rPr>
          <w:rFonts w:ascii="Georgia" w:hAnsi="Georgia" w:cs="Arial"/>
          <w:szCs w:val="22"/>
          <w:u w:val="single"/>
        </w:rPr>
        <w:t>The preliminary notice must include the reasons for considering a decision not to renew</w:t>
      </w:r>
      <w:r w:rsidRPr="00D908A5">
        <w:rPr>
          <w:rFonts w:ascii="Georgia" w:hAnsi="Georgia" w:cs="Arial"/>
          <w:szCs w:val="22"/>
          <w:u w:val="single"/>
        </w:rPr>
        <w:t>.</w:t>
      </w:r>
    </w:p>
    <w:p w:rsidR="002B68C7" w:rsidRPr="00D908A5" w:rsidRDefault="002B68C7" w:rsidP="002B68C7">
      <w:pPr>
        <w:rPr>
          <w:rFonts w:ascii="Georgia" w:hAnsi="Georgia" w:cs="Arial"/>
          <w:szCs w:val="22"/>
        </w:rPr>
      </w:pPr>
    </w:p>
    <w:p w:rsidR="002B68C7" w:rsidRPr="00D908A5" w:rsidRDefault="002B68C7" w:rsidP="002B68C7">
      <w:pPr>
        <w:rPr>
          <w:rFonts w:ascii="Georgia" w:hAnsi="Georgia" w:cs="Arial"/>
          <w:szCs w:val="22"/>
        </w:rPr>
      </w:pPr>
      <w:r w:rsidRPr="00D908A5">
        <w:rPr>
          <w:rFonts w:ascii="Georgia" w:hAnsi="Georgia" w:cs="Arial"/>
          <w:szCs w:val="22"/>
        </w:rPr>
        <w:t xml:space="preserve">If you think one or more administrators may be considered for contract nonrenewal, then the board should take action to grant the superintendent authority to give such notices as the superintendent deems appropriate at the next board meeting. This could be a part of the personnel report on a consent agenda, for example, and does not need to name any particular employee as receiving the notice. The following would suffice for board action: “The Superintendent or designee is authorized to deliver any notice required to advise an employee that the employee’s contract is being considered for nonrenewal.” </w:t>
      </w:r>
    </w:p>
    <w:p w:rsidR="002B68C7" w:rsidRPr="00D908A5" w:rsidRDefault="002B68C7" w:rsidP="002B68C7">
      <w:pPr>
        <w:rPr>
          <w:rFonts w:ascii="Georgia" w:hAnsi="Georgia" w:cs="Arial"/>
          <w:szCs w:val="22"/>
        </w:rPr>
      </w:pPr>
    </w:p>
    <w:p w:rsidR="002B68C7" w:rsidRPr="00D908A5" w:rsidRDefault="002B68C7" w:rsidP="002B68C7">
      <w:pPr>
        <w:rPr>
          <w:rFonts w:ascii="Georgia" w:hAnsi="Georgia" w:cs="Arial"/>
          <w:szCs w:val="22"/>
        </w:rPr>
      </w:pPr>
      <w:r w:rsidRPr="00D908A5">
        <w:rPr>
          <w:rFonts w:ascii="Georgia" w:hAnsi="Georgia" w:cs="Arial"/>
          <w:szCs w:val="22"/>
        </w:rPr>
        <w:t>Alternatively, the board could identify specific employees being considered for non-renewal and direct the school attorney to provide the employees with notice.</w:t>
      </w:r>
    </w:p>
    <w:p w:rsidR="002B68C7" w:rsidRPr="00D908A5" w:rsidRDefault="002B68C7" w:rsidP="002B68C7">
      <w:pPr>
        <w:rPr>
          <w:rFonts w:ascii="Georgia" w:hAnsi="Georgia" w:cs="Arial"/>
          <w:szCs w:val="22"/>
        </w:rPr>
      </w:pPr>
    </w:p>
    <w:p w:rsidR="002B68C7" w:rsidRPr="00D908A5" w:rsidRDefault="00715B7D" w:rsidP="002B68C7">
      <w:pPr>
        <w:rPr>
          <w:rFonts w:ascii="Georgia" w:hAnsi="Georgia" w:cs="Arial"/>
          <w:szCs w:val="22"/>
        </w:rPr>
      </w:pPr>
      <w:r w:rsidRPr="00D908A5">
        <w:rPr>
          <w:rFonts w:ascii="Georgia" w:hAnsi="Georgia" w:cs="Arial"/>
          <w:szCs w:val="22"/>
        </w:rPr>
        <w:t>Please note, the above process only terminates the employee’s administrator c</w:t>
      </w:r>
      <w:r w:rsidRPr="00D908A5">
        <w:rPr>
          <w:rFonts w:ascii="Georgia" w:hAnsi="Georgia" w:cs="Arial"/>
          <w:szCs w:val="22"/>
        </w:rPr>
        <w:t>ontract at the end of the term</w:t>
      </w:r>
      <w:r w:rsidR="00D908A5">
        <w:rPr>
          <w:rFonts w:ascii="Georgia" w:hAnsi="Georgia" w:cs="Arial"/>
          <w:szCs w:val="22"/>
        </w:rPr>
        <w:t>, not the underlying teaching contract</w:t>
      </w:r>
      <w:r w:rsidRPr="00D908A5">
        <w:rPr>
          <w:rFonts w:ascii="Georgia" w:hAnsi="Georgia" w:cs="Arial"/>
          <w:szCs w:val="22"/>
        </w:rPr>
        <w:t>. You’ve shared that offering the employee a teaching position was not preferred by the Board. Offering a teaching position is a reasonable option, and eliminates the need to cancel both the administrators and teaching contracts simultaneously. I</w:t>
      </w:r>
      <w:r w:rsidR="002B68C7" w:rsidRPr="00D908A5">
        <w:rPr>
          <w:rFonts w:ascii="Georgia" w:hAnsi="Georgia" w:cs="Arial"/>
          <w:szCs w:val="22"/>
        </w:rPr>
        <w:t>f you</w:t>
      </w:r>
      <w:r w:rsidRPr="00D908A5">
        <w:rPr>
          <w:rFonts w:ascii="Georgia" w:hAnsi="Georgia" w:cs="Arial"/>
          <w:szCs w:val="22"/>
        </w:rPr>
        <w:t xml:space="preserve"> and your Board</w:t>
      </w:r>
      <w:r w:rsidR="002B68C7" w:rsidRPr="00D908A5">
        <w:rPr>
          <w:rFonts w:ascii="Georgia" w:hAnsi="Georgia" w:cs="Arial"/>
          <w:szCs w:val="22"/>
        </w:rPr>
        <w:t xml:space="preserve"> desire to also terminate the employee’s underlying teacher contract, the board would need to</w:t>
      </w:r>
      <w:r w:rsidRPr="00D908A5">
        <w:rPr>
          <w:rFonts w:ascii="Georgia" w:hAnsi="Georgia" w:cs="Arial"/>
          <w:szCs w:val="22"/>
        </w:rPr>
        <w:t xml:space="preserve"> follow that statutory process, which we can also walk you through.</w:t>
      </w:r>
    </w:p>
    <w:p w:rsidR="00D908A5" w:rsidRPr="00D908A5" w:rsidRDefault="00D908A5" w:rsidP="002B68C7">
      <w:pPr>
        <w:rPr>
          <w:rFonts w:ascii="Georgia" w:hAnsi="Georgia"/>
          <w:szCs w:val="22"/>
        </w:rPr>
      </w:pPr>
    </w:p>
    <w:p w:rsidR="002B68C7" w:rsidRPr="00D908A5" w:rsidRDefault="002B68C7" w:rsidP="002B68C7">
      <w:pPr>
        <w:rPr>
          <w:rFonts w:ascii="Georgia" w:hAnsi="Georgia"/>
          <w:szCs w:val="22"/>
        </w:rPr>
      </w:pPr>
      <w:r w:rsidRPr="00D908A5">
        <w:rPr>
          <w:rFonts w:ascii="Georgia" w:hAnsi="Georgia" w:cs="Arial"/>
          <w:szCs w:val="22"/>
        </w:rPr>
        <w:t xml:space="preserve">If there are questions about this, please contact </w:t>
      </w:r>
      <w:r w:rsidR="00D908A5" w:rsidRPr="00D908A5">
        <w:rPr>
          <w:rFonts w:ascii="Georgia" w:hAnsi="Georgia" w:cs="Arial"/>
          <w:szCs w:val="22"/>
        </w:rPr>
        <w:t xml:space="preserve">Attorney, Melissa Cunnyngham, or </w:t>
      </w:r>
      <w:r w:rsidR="00D908A5">
        <w:rPr>
          <w:rFonts w:ascii="Georgia" w:hAnsi="Georgia" w:cs="Arial"/>
          <w:szCs w:val="22"/>
        </w:rPr>
        <w:t xml:space="preserve">another </w:t>
      </w:r>
      <w:r w:rsidR="00D908A5" w:rsidRPr="00D908A5">
        <w:rPr>
          <w:rFonts w:ascii="Georgia" w:hAnsi="Georgia" w:cs="Arial"/>
          <w:szCs w:val="22"/>
        </w:rPr>
        <w:t>member</w:t>
      </w:r>
      <w:bookmarkStart w:id="0" w:name="_GoBack"/>
      <w:bookmarkEnd w:id="0"/>
      <w:r w:rsidR="00D908A5" w:rsidRPr="00D908A5">
        <w:rPr>
          <w:rFonts w:ascii="Georgia" w:hAnsi="Georgia" w:cs="Arial"/>
          <w:szCs w:val="22"/>
        </w:rPr>
        <w:t xml:space="preserve"> of the CCHA law group</w:t>
      </w:r>
      <w:r w:rsidRPr="00D908A5">
        <w:rPr>
          <w:rFonts w:ascii="Georgia" w:hAnsi="Georgia" w:cs="Arial"/>
          <w:szCs w:val="22"/>
        </w:rPr>
        <w:t xml:space="preserve">. </w:t>
      </w:r>
    </w:p>
    <w:p w:rsidR="002B68C7" w:rsidRPr="00D908A5" w:rsidRDefault="002B68C7" w:rsidP="002B68C7">
      <w:pPr>
        <w:rPr>
          <w:szCs w:val="22"/>
        </w:rPr>
      </w:pPr>
    </w:p>
    <w:p w:rsidR="00014921" w:rsidRPr="00D908A5" w:rsidRDefault="00D908A5">
      <w:pPr>
        <w:rPr>
          <w:szCs w:val="22"/>
        </w:rPr>
      </w:pPr>
    </w:p>
    <w:sectPr w:rsidR="00014921" w:rsidRPr="00D908A5" w:rsidSect="002A137B">
      <w:headerReference w:type="default" r:id="rId6"/>
      <w:footerReference w:type="default" r:id="rId7"/>
      <w:headerReference w:type="first" r:id="rId8"/>
      <w:footerReference w:type="first" r:id="rId9"/>
      <w:pgSz w:w="12240" w:h="15840"/>
      <w:pgMar w:top="2074" w:right="1440" w:bottom="1440" w:left="1440" w:header="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B68C7" w:rsidRDefault="002B68C7" w:rsidP="002B68C7">
      <w:r>
        <w:separator/>
      </w:r>
    </w:p>
  </w:endnote>
  <w:endnote w:type="continuationSeparator" w:id="0">
    <w:p w:rsidR="002B68C7" w:rsidRDefault="002B68C7" w:rsidP="002B68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2A6F" w:rsidRDefault="00D908A5" w:rsidP="006D2A95">
    <w:pPr>
      <w:pStyle w:val="Footer"/>
      <w:ind w:left="-1800"/>
    </w:pPr>
    <w:r>
      <w:rPr>
        <w:noProof/>
      </w:rPr>
      <w:drawing>
        <wp:inline distT="0" distB="0" distL="0" distR="0" wp14:anchorId="0E45133F" wp14:editId="0B0008F8">
          <wp:extent cx="8011236" cy="929640"/>
          <wp:effectExtent l="0" t="0" r="889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HA_LH_Noblesville.png"/>
                  <pic:cNvPicPr/>
                </pic:nvPicPr>
                <pic:blipFill>
                  <a:blip r:embed="rId1">
                    <a:extLst>
                      <a:ext uri="{28A0092B-C50C-407E-A947-70E740481C1C}">
                        <a14:useLocalDpi xmlns:a14="http://schemas.microsoft.com/office/drawing/2010/main" val="0"/>
                      </a:ext>
                    </a:extLst>
                  </a:blip>
                  <a:stretch>
                    <a:fillRect/>
                  </a:stretch>
                </pic:blipFill>
                <pic:spPr>
                  <a:xfrm>
                    <a:off x="0" y="0"/>
                    <a:ext cx="8026943" cy="931463"/>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2A6F" w:rsidRDefault="00D908A5" w:rsidP="00702A6F">
    <w:pPr>
      <w:pStyle w:val="Footer"/>
      <w:ind w:left="-1800"/>
    </w:pPr>
    <w:r>
      <w:rPr>
        <w:noProof/>
      </w:rPr>
      <w:drawing>
        <wp:inline distT="0" distB="0" distL="0" distR="0" wp14:anchorId="662B15ED" wp14:editId="1DF514D1">
          <wp:extent cx="8011160" cy="929005"/>
          <wp:effectExtent l="0" t="0" r="889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HA_LH_Noblesville.png"/>
                  <pic:cNvPicPr/>
                </pic:nvPicPr>
                <pic:blipFill>
                  <a:blip r:embed="rId1">
                    <a:extLst>
                      <a:ext uri="{28A0092B-C50C-407E-A947-70E740481C1C}">
                        <a14:useLocalDpi xmlns:a14="http://schemas.microsoft.com/office/drawing/2010/main" val="0"/>
                      </a:ext>
                    </a:extLst>
                  </a:blip>
                  <a:stretch>
                    <a:fillRect/>
                  </a:stretch>
                </pic:blipFill>
                <pic:spPr>
                  <a:xfrm>
                    <a:off x="0" y="0"/>
                    <a:ext cx="8022207" cy="930286"/>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B68C7" w:rsidRDefault="002B68C7" w:rsidP="002B68C7">
      <w:r>
        <w:separator/>
      </w:r>
    </w:p>
  </w:footnote>
  <w:footnote w:type="continuationSeparator" w:id="0">
    <w:p w:rsidR="002B68C7" w:rsidRDefault="002B68C7" w:rsidP="002B68C7">
      <w:r>
        <w:continuationSeparator/>
      </w:r>
    </w:p>
  </w:footnote>
  <w:footnote w:id="1">
    <w:p w:rsidR="002B68C7" w:rsidRDefault="002B68C7" w:rsidP="002B68C7">
      <w:pPr>
        <w:pStyle w:val="FootnoteText"/>
      </w:pPr>
      <w:r>
        <w:rPr>
          <w:rStyle w:val="FootnoteReference"/>
        </w:rPr>
        <w:footnoteRef/>
      </w:r>
      <w:r>
        <w:t xml:space="preserve"> IC § 20-28-8-7 requires the board give notice of nonrenewal to the Superintendent by January 1</w:t>
      </w:r>
      <w:r w:rsidRPr="00DE0081">
        <w:rPr>
          <w:vertAlign w:val="superscript"/>
        </w:rPr>
        <w:t>st</w:t>
      </w:r>
      <w:r>
        <w:t>. IC § 20-28-8-11 requires a board give notice by February 1</w:t>
      </w:r>
      <w:r w:rsidRPr="00DE0081">
        <w:rPr>
          <w:vertAlign w:val="superscript"/>
        </w:rPr>
        <w:t>st</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2A6F" w:rsidRDefault="00D908A5" w:rsidP="006D2A95">
    <w:pPr>
      <w:pStyle w:val="Header"/>
      <w:ind w:left="-180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2A6F" w:rsidRDefault="00D908A5" w:rsidP="00702A6F">
    <w:pPr>
      <w:pStyle w:val="Header"/>
      <w:ind w:left="-1800"/>
    </w:pPr>
    <w:r>
      <w:rPr>
        <w:noProof/>
      </w:rPr>
      <w:drawing>
        <wp:inline distT="0" distB="0" distL="0" distR="0" wp14:anchorId="1B64C499" wp14:editId="03D6E565">
          <wp:extent cx="8011236" cy="1473200"/>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HA_Letterhead_header.png"/>
                  <pic:cNvPicPr/>
                </pic:nvPicPr>
                <pic:blipFill>
                  <a:blip r:embed="rId1">
                    <a:extLst>
                      <a:ext uri="{28A0092B-C50C-407E-A947-70E740481C1C}">
                        <a14:useLocalDpi xmlns:a14="http://schemas.microsoft.com/office/drawing/2010/main" val="0"/>
                      </a:ext>
                    </a:extLst>
                  </a:blip>
                  <a:stretch>
                    <a:fillRect/>
                  </a:stretch>
                </pic:blipFill>
                <pic:spPr>
                  <a:xfrm>
                    <a:off x="0" y="0"/>
                    <a:ext cx="8026075" cy="1475929"/>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68C7"/>
    <w:rsid w:val="002B68C7"/>
    <w:rsid w:val="005D6252"/>
    <w:rsid w:val="005E3FBF"/>
    <w:rsid w:val="00715B7D"/>
    <w:rsid w:val="00D908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9120FC"/>
  <w15:chartTrackingRefBased/>
  <w15:docId w15:val="{DD137F20-BAFD-489D-BF76-337FF3F714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68C7"/>
    <w:pPr>
      <w:spacing w:after="0" w:line="240" w:lineRule="auto"/>
    </w:pPr>
    <w:rPr>
      <w:rFonts w:eastAsiaTheme="minorEastAsia"/>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B68C7"/>
    <w:pPr>
      <w:tabs>
        <w:tab w:val="center" w:pos="4320"/>
        <w:tab w:val="right" w:pos="8640"/>
      </w:tabs>
    </w:pPr>
  </w:style>
  <w:style w:type="character" w:customStyle="1" w:styleId="HeaderChar">
    <w:name w:val="Header Char"/>
    <w:basedOn w:val="DefaultParagraphFont"/>
    <w:link w:val="Header"/>
    <w:uiPriority w:val="99"/>
    <w:rsid w:val="002B68C7"/>
    <w:rPr>
      <w:rFonts w:eastAsiaTheme="minorEastAsia"/>
      <w:szCs w:val="24"/>
    </w:rPr>
  </w:style>
  <w:style w:type="paragraph" w:styleId="Footer">
    <w:name w:val="footer"/>
    <w:basedOn w:val="Normal"/>
    <w:link w:val="FooterChar"/>
    <w:uiPriority w:val="99"/>
    <w:unhideWhenUsed/>
    <w:rsid w:val="002B68C7"/>
    <w:pPr>
      <w:tabs>
        <w:tab w:val="center" w:pos="4320"/>
        <w:tab w:val="right" w:pos="8640"/>
      </w:tabs>
    </w:pPr>
  </w:style>
  <w:style w:type="character" w:customStyle="1" w:styleId="FooterChar">
    <w:name w:val="Footer Char"/>
    <w:basedOn w:val="DefaultParagraphFont"/>
    <w:link w:val="Footer"/>
    <w:uiPriority w:val="99"/>
    <w:rsid w:val="002B68C7"/>
    <w:rPr>
      <w:rFonts w:eastAsiaTheme="minorEastAsia"/>
      <w:szCs w:val="24"/>
    </w:rPr>
  </w:style>
  <w:style w:type="paragraph" w:styleId="FootnoteText">
    <w:name w:val="footnote text"/>
    <w:basedOn w:val="Normal"/>
    <w:link w:val="FootnoteTextChar"/>
    <w:uiPriority w:val="99"/>
    <w:semiHidden/>
    <w:unhideWhenUsed/>
    <w:rsid w:val="002B68C7"/>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semiHidden/>
    <w:rsid w:val="002B68C7"/>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2B68C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TotalTime>
  <Pages>1</Pages>
  <Words>368</Words>
  <Characters>2100</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 Melissa Cunnyngham</dc:creator>
  <cp:keywords/>
  <dc:description/>
  <cp:lastModifiedBy>C. Melissa Cunnyngham</cp:lastModifiedBy>
  <cp:revision>1</cp:revision>
  <dcterms:created xsi:type="dcterms:W3CDTF">2021-01-11T15:36:00Z</dcterms:created>
  <dcterms:modified xsi:type="dcterms:W3CDTF">2021-01-11T16:04:00Z</dcterms:modified>
</cp:coreProperties>
</file>